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4F" w:rsidRDefault="004F324F" w:rsidP="004F324F">
      <w:pPr>
        <w:spacing w:after="40" w:line="240" w:lineRule="auto"/>
        <w:ind w:left="426"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34DCF" wp14:editId="563CC574">
            <wp:extent cx="768350" cy="97536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4F" w:rsidRPr="004F324F" w:rsidRDefault="004F324F" w:rsidP="004F324F">
      <w:pPr>
        <w:spacing w:after="40" w:line="240" w:lineRule="auto"/>
        <w:ind w:left="42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АДМИНИСТРАЦИЯ</w:t>
      </w:r>
      <w:r w:rsidRPr="004F3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ВОСКРЕСЕНСКОГО МУНИЦИПАЛЬНОГО РАЙОНА</w:t>
      </w:r>
      <w:r w:rsidRPr="004F3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32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F324F" w:rsidRPr="004F324F" w:rsidTr="004F324F">
        <w:tc>
          <w:tcPr>
            <w:tcW w:w="9639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24F" w:rsidRPr="004F324F" w:rsidRDefault="004F324F" w:rsidP="004F324F">
            <w:pPr>
              <w:spacing w:after="0" w:line="240" w:lineRule="auto"/>
              <w:ind w:left="1701" w:hanging="17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24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4F324F" w:rsidRPr="001D1F61" w:rsidRDefault="004F324F" w:rsidP="004F324F">
            <w:pPr>
              <w:spacing w:after="0" w:line="240" w:lineRule="auto"/>
              <w:ind w:left="1701" w:hanging="17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F6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От_</w:t>
            </w:r>
          </w:p>
          <w:p w:rsidR="004F324F" w:rsidRPr="004F324F" w:rsidRDefault="004F324F" w:rsidP="004F324F">
            <w:pPr>
              <w:spacing w:after="0" w:line="240" w:lineRule="auto"/>
              <w:ind w:left="1701" w:hanging="17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2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4F324F" w:rsidRPr="001D1F61" w:rsidRDefault="004F324F" w:rsidP="004F3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</w:t>
      </w:r>
      <w:r w:rsidR="00A02D1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земельных участков в </w:t>
      </w:r>
      <w:r w:rsidR="001D1F61" w:rsidRPr="001D1F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собственность бесплатно»</w:t>
      </w:r>
    </w:p>
    <w:p w:rsidR="001D1F61" w:rsidRPr="001D1F61" w:rsidRDefault="001D1F61" w:rsidP="004F324F">
      <w:pPr>
        <w:shd w:val="clear" w:color="auto" w:fill="FFFFFF"/>
        <w:spacing w:after="85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</w:p>
    <w:p w:rsidR="004F324F" w:rsidRPr="001D1F61" w:rsidRDefault="004F324F" w:rsidP="004F324F">
      <w:pPr>
        <w:shd w:val="clear" w:color="auto" w:fill="FFFFFF"/>
        <w:spacing w:after="8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целях реализации прав и законных интересов граждан при предоставлении муниципальных услуг, в соответствии с Федеральным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D1F61">
          <w:rPr>
            <w:rFonts w:ascii="PT Astra Serif" w:eastAsia="Times New Roman" w:hAnsi="PT Astra Serif" w:cs="Arial"/>
            <w:color w:val="000000"/>
            <w:sz w:val="24"/>
            <w:szCs w:val="24"/>
            <w:lang w:eastAsia="ru-RU"/>
          </w:rPr>
          <w:t>законом</w:t>
        </w:r>
      </w:hyperlink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27.07.2010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№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210-ФЗ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«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Саратовской области 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 xml:space="preserve">от 30.09.2014 № 122-ЗСО «О земле»,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руководствуясь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Уставом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Воскресенского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муниципального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района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Саратовской</w:t>
        </w:r>
        <w:r w:rsidR="001D1F61"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 xml:space="preserve"> </w:t>
        </w:r>
        <w:r w:rsidRPr="001D1F61">
          <w:rPr>
            <w:rFonts w:ascii="PT Astra Serif" w:eastAsia="Times New Roman" w:hAnsi="PT Astra Serif" w:cs="Arial"/>
            <w:sz w:val="24"/>
            <w:szCs w:val="24"/>
            <w:lang w:eastAsia="ru-RU"/>
          </w:rPr>
          <w:t>области</w:t>
        </w:r>
        <w:r w:rsidRPr="001D1F61">
          <w:rPr>
            <w:rFonts w:ascii="PT Astra Serif" w:eastAsia="Times New Roman" w:hAnsi="PT Astra Serif" w:cs="Arial"/>
            <w:color w:val="0000FF"/>
            <w:sz w:val="24"/>
            <w:szCs w:val="24"/>
            <w:lang w:eastAsia="ru-RU"/>
          </w:rPr>
          <w:t>,</w:t>
        </w:r>
      </w:hyperlink>
    </w:p>
    <w:p w:rsidR="001D1F61" w:rsidRPr="001D1F61" w:rsidRDefault="001D1F61" w:rsidP="001D1F61">
      <w:pPr>
        <w:shd w:val="clear" w:color="auto" w:fill="FFFFFF"/>
        <w:spacing w:after="0" w:line="240" w:lineRule="auto"/>
        <w:ind w:firstLine="366"/>
        <w:jc w:val="both"/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</w:pPr>
    </w:p>
    <w:p w:rsidR="004F324F" w:rsidRPr="001D1F61" w:rsidRDefault="004F324F" w:rsidP="001D1F61">
      <w:pPr>
        <w:shd w:val="clear" w:color="auto" w:fill="FFFFFF"/>
        <w:spacing w:after="0" w:line="240" w:lineRule="auto"/>
        <w:ind w:firstLine="3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F324F" w:rsidRPr="001D1F61" w:rsidRDefault="004F324F" w:rsidP="001D1F61">
      <w:pPr>
        <w:shd w:val="clear" w:color="auto" w:fill="FFFFFF"/>
        <w:spacing w:after="0" w:line="240" w:lineRule="auto"/>
        <w:ind w:firstLine="3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1.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Утвердить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регламент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согласно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приложению.</w:t>
      </w:r>
    </w:p>
    <w:p w:rsidR="004F324F" w:rsidRPr="001D1F61" w:rsidRDefault="004F324F" w:rsidP="001D1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Контроль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исполнением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возложить на первого заместителя главы Администрации по строительству, ЖКХ, транспорту и связи </w:t>
      </w:r>
      <w:r w:rsid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Шишкина Д.В.</w:t>
      </w:r>
    </w:p>
    <w:p w:rsidR="004F324F" w:rsidRPr="001D1F61" w:rsidRDefault="004F324F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Настоящее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постановление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вступает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силу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опубликования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газете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«Наша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Жизнь»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размещению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МР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u w:val="single"/>
          <w:lang w:eastAsia="ru-RU"/>
        </w:rPr>
        <w:t>http://voskresensk64ru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).</w:t>
      </w:r>
    </w:p>
    <w:p w:rsidR="004F324F" w:rsidRPr="001D1F61" w:rsidRDefault="001D1F61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</w:t>
      </w:r>
    </w:p>
    <w:p w:rsidR="004F324F" w:rsidRPr="001D1F61" w:rsidRDefault="004F324F" w:rsidP="001D1F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Глава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Воскресенского</w:t>
      </w:r>
      <w:r w:rsid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района</w:t>
      </w:r>
    </w:p>
    <w:p w:rsidR="001D1F61" w:rsidRDefault="004F324F" w:rsidP="001D1F6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Д.В.</w:t>
      </w:r>
      <w:r w:rsidR="001D1F61"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Павлов</w:t>
      </w:r>
      <w:r w:rsidR="001D1F6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 w:type="page"/>
      </w:r>
    </w:p>
    <w:p w:rsidR="004F324F" w:rsidRPr="004F324F" w:rsidRDefault="004F324F" w:rsidP="004F32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</w:t>
      </w: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1D1F61" w:rsidRPr="001D1F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</w:p>
    <w:p w:rsidR="004F324F" w:rsidRPr="004F324F" w:rsidRDefault="001D1F61" w:rsidP="004F32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8"/>
      <w:bookmarkEnd w:id="0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бесплатно»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507E"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регламент)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в абзаце первом настоящего пункта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огородничества.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</w:p>
    <w:p w:rsidR="0065507E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заявители)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уволенны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запас (отставку),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заключивши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проходящи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(проходивши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службу в войсках национальной гвардии Российской Федерации и 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звания полиции, удостоенны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Героя Российской Федерации за заслуги, проявленные в ходе участия в специальной военной операции, или награжденны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ветеранами боевых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гибели (смерти) лиц, указанных в пунктах «а», «б», «в»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военнослужащие),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5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 (далее – члены семей военнослужащих)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дети погибшего военнослужащего;</w:t>
      </w:r>
    </w:p>
    <w:p w:rsidR="0065507E" w:rsidRDefault="0065507E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вдова (вдовец) погибшего военнослужащего, не вступившая (не вступивший) в повторный брак;</w:t>
      </w:r>
    </w:p>
    <w:p w:rsidR="00ED682C" w:rsidRDefault="00ED682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родители погибшего военнослужащего (в равных долях) – в случае отсутствия вышеуказанных членов семьи военнослужащего или их </w:t>
      </w: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письменного отказа от получения земельного участка, направленного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Администрацию.</w:t>
      </w:r>
    </w:p>
    <w:p w:rsidR="00ED682C" w:rsidRPr="00ED682C" w:rsidRDefault="00ED682C" w:rsidP="00ED6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 вправе обратиться  представители </w:t>
      </w: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  действующие  в  силу  полномочий,  основанных  на  оформленной  в  установленном  законодательством  Российской  Федерации  порядке  доверенности,  на  указании  федерального  закона  либо  на  акте  уполномоченного  на  то  государственного  органа  или  органа  местного  самоуправления  (далее  -  представитель  заявителя).</w:t>
      </w:r>
    </w:p>
    <w:p w:rsidR="00ED682C" w:rsidRDefault="00ED682C" w:rsidP="00ED6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 подписывается  заявителем  либо  представителем  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82C" w:rsidRDefault="00ED682C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r59"/>
      <w:bookmarkEnd w:id="1"/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</w:t>
      </w:r>
    </w:p>
    <w:p w:rsidR="004F324F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333373" w:rsidRPr="001D1F61" w:rsidRDefault="00333373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413030,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Шеина,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д.34.</w:t>
      </w:r>
    </w:p>
    <w:p w:rsidR="00333373" w:rsidRPr="001D1F61" w:rsidRDefault="0033337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229"/>
      </w:tblGrid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333373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 день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  <w:tr w:rsidR="004F324F" w:rsidRPr="001D1F61" w:rsidTr="00333373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3333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3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</w:p>
        </w:tc>
      </w:tr>
    </w:tbl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справок: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8(84568)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2-28-01.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(http://www.gosuslugi.ru,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http://64.gosuslugi.ru/)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способами:</w:t>
      </w:r>
      <w:bookmarkStart w:id="2" w:name="Par93"/>
      <w:bookmarkEnd w:id="2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телефону;</w:t>
      </w:r>
      <w:bookmarkStart w:id="3" w:name="Par95"/>
      <w:bookmarkEnd w:id="3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информирование.</w:t>
      </w:r>
    </w:p>
    <w:p w:rsidR="004F324F" w:rsidRPr="00333373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anchor="Par93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абзацами</w:t>
        </w:r>
        <w:r w:rsidR="001D1F61"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вторым</w:t>
        </w:r>
      </w:hyperlink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Par95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четвертым</w:t>
        </w:r>
        <w:r w:rsidR="001D1F61"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33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3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Par100"/>
      <w:bookmarkEnd w:id="4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(корректной)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помимо порядка, указанного в пункте 1.3.3.2 настоящего 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(электронные)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(электронного)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</w:t>
      </w:r>
    </w:p>
    <w:p w:rsidR="004F324F" w:rsidRPr="00005C75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C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D1F61"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w:history="1">
        <w:r w:rsidR="00005C75" w:rsidRPr="0099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 voskresensk64.ru/</w:t>
        </w:r>
      </w:hyperlink>
      <w:r w:rsidRPr="00005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1.3.3.6.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порталах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2" w:history="1">
        <w:r w:rsidR="00005C75" w:rsidRPr="00990F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http://voskresensk64.ru</w:t>
        </w:r>
      </w:hyperlink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выдержек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(получены)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(осуществляемых)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http://mfc64.ru.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05C75" w:rsidRP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</w:t>
      </w:r>
      <w:r w:rsidR="00005C75" w:rsidRP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в собственность бесплатно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услуга).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Росреестра по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«Вольский»;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"Наша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Жизнь"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"Наша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Жизнь").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0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заключения соглашения о взаимодействии)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7.2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Федеральный закон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50B4" w:rsidRPr="0082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Pr="001D1F61" w:rsidRDefault="00A02D18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действий:</w:t>
      </w:r>
    </w:p>
    <w:p w:rsidR="00D61E13" w:rsidRDefault="00D61E13" w:rsidP="00D61E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(направление) заявителю копии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земельного участка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D61E13" w:rsidRDefault="00D61E1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(направление) заявителю копии постановления Администрации о предварительном согласовании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1E13" w:rsidRPr="001D1F61" w:rsidRDefault="00D61E13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(направление) заявителю копии постановления Администрации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отказе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редоставления земельного участка.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188"/>
      <w:bookmarkEnd w:id="5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D1F61"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61E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hAnsi="Times New Roman" w:cs="Times New Roman"/>
          <w:sz w:val="24"/>
          <w:szCs w:val="24"/>
        </w:rPr>
        <w:t xml:space="preserve">пунктом 3 статьи 12.3, пунктом 2 статьи 12.4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30.09.2014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предварительном согласовании </w:t>
      </w:r>
      <w:r w:rsidR="00F42AC0" w:rsidRP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(отказе в предварительном согласовании)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земельного участка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не позднее 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F4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соответствующего заявления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4F324F" w:rsidRPr="001D1F61" w:rsidRDefault="001D1F6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возникающие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предоставлением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актами:</w:t>
      </w:r>
    </w:p>
    <w:p w:rsidR="004F324F" w:rsidRPr="002D012C" w:rsidRDefault="00F975D8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12.12.1993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237,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211-212,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44,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4147);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32,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3301,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238-239,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40,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3822);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137-ФЗ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44,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4148);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29.12.2004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191-ФЗ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24.07.2007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168,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31,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4179);</w:t>
      </w:r>
    </w:p>
    <w:p w:rsidR="004F324F" w:rsidRPr="002D012C" w:rsidRDefault="00F975D8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30.09.2014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-ЗСО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="002D012C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24F" w:rsidRPr="002D012C" w:rsidRDefault="00F975D8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F324F" w:rsidRPr="002D0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24F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D1F61"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4F324F" w:rsidRPr="002D012C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219"/>
      <w:bookmarkEnd w:id="6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225"/>
      <w:bookmarkEnd w:id="7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A7019C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составленное по </w:t>
      </w:r>
      <w:r w:rsidR="00A7019C"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 предусмотренной приложением к Административному регламенту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019C"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предоставлении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участка, занимаемого индивидуальным жилым домом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7019C" w:rsidRDefault="00A7019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предварительном согласовании предоставления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Pr="00A7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государственной регистрации недвижимости»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представителя);</w:t>
      </w:r>
      <w:bookmarkStart w:id="8" w:name="Par228"/>
      <w:bookmarkEnd w:id="8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пребывания)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bookmarkStart w:id="9" w:name="Par229"/>
      <w:bookmarkEnd w:id="9"/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гражданин, 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(пребывания) которого находится на территории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подает в Администрацию заявление о предварительном согласовании предоставления земельного участка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собственность бесплатно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абзацев первого и второго части 6 статьи 12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Закона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от 30.09.2014 №122-ЗСО 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жительства или месте пребывания гражданина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учитываются</w:t>
      </w:r>
      <w:r w:rsidR="0063322C" w:rsidRP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0" w:name="Par230"/>
      <w:bookmarkEnd w:id="10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бесплатно;</w:t>
      </w:r>
      <w:bookmarkStart w:id="11" w:name="Par231"/>
      <w:bookmarkEnd w:id="11"/>
    </w:p>
    <w:p w:rsidR="00A12509" w:rsidRPr="001D1F61" w:rsidRDefault="00A1250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документ, подтверждающий право собственности заявителя на индивидуальный жилой дом, - в случае подачи заявления о </w:t>
      </w:r>
      <w:r w:rsidRPr="00A1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участка, занимаемого индивидуальным жилым домом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9B74C7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.6.2.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Par227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63322C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Par231" w:history="1">
        <w:r w:rsidR="0063322C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Par228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Par229" w:history="1">
        <w:r w:rsidR="00A1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инициативе.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Par228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Par229" w:history="1">
        <w:r w:rsidR="00A1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взаимодействия.</w:t>
      </w:r>
    </w:p>
    <w:p w:rsidR="00033141" w:rsidRPr="001D1F61" w:rsidRDefault="00033141" w:rsidP="00033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</w:t>
      </w:r>
      <w:r w:rsidRP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 не  должны  содержать  подчистки  либо  приписки,  зачеркнутые  слова  или  другие  исправления.</w:t>
      </w:r>
    </w:p>
    <w:p w:rsidR="009B74C7" w:rsidRDefault="009B74C7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находятся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представить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5" w:history="1"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1D1F61"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B74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1D1F61"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4C7" w:rsidRPr="009B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6" w:history="1"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7.2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="001D1F61"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E2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="001D1F61" w:rsidRPr="00CE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предусмотрено.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258"/>
      <w:bookmarkEnd w:id="12"/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2.9.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предварительном согласовании предоставления земельного участка)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лица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7" w:anchor="Par225" w:history="1"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2.6.1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раздела</w:t>
        </w:r>
        <w:r w:rsidR="001D1F61"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="001D1F61" w:rsidRPr="00F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8" w:anchor="Par225" w:history="1"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2.6.1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раздела</w:t>
        </w:r>
        <w:r w:rsidR="001D1F61"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F2F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FF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</w:t>
      </w:r>
      <w:r w:rsid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44597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отношении заявителя уже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бесплатном предоставлении в собственность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2C0E6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наличии хотя бы одного из оснований, установленных ст. 39.16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кодекса Российской Федерации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подачи заявления о предоставлении в собственность бесплатно земельного участка;</w:t>
      </w:r>
    </w:p>
    <w:p w:rsidR="002C0E6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наличии хотя бы одного из оснований, предусмотренных пунктом 8 ст. 39.15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кодекса Российской Федерации – в случае подачи заявления о 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предварительном согласовании 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C0E6C" w:rsidRP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</w:t>
      </w:r>
      <w:r w:rsidR="002C0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бесплатно земельного участка.</w:t>
      </w:r>
    </w:p>
    <w:p w:rsidR="0044597C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площадь земельного участка, указанного в заявлении о бесплатном предоставлении земельного участка, о предварительном согласовании предоставления в собственность бесплатно земельного участка не соответствует предельным параметрам, указанным в статье 12.6 Закона Саратовской области </w:t>
      </w:r>
      <w:r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30.09.2014 № 122-ЗСО «О земле»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141" w:rsidRDefault="0044597C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E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заявления об отказе в предоставлении муниципальной услуги.</w:t>
      </w:r>
    </w:p>
    <w:p w:rsidR="00CE2375" w:rsidRDefault="00CE2375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пошлины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взимаемой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</w:t>
      </w:r>
      <w:r w:rsidR="002C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помещениям,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услуга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(кресельными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(банкетками);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(стойками)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принадлежностями.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стенды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заметны,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просматриваемы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функциональны,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карманами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А4,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листки.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лицами;</w:t>
      </w:r>
    </w:p>
    <w:p w:rsidR="002C0E6C" w:rsidRPr="00557EBC" w:rsidRDefault="002C0E6C" w:rsidP="002C0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2D18"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кресла-коляски;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глухонемым,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языком;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собаки-проводника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2.14.6.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заявителей: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указанием: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2C0E6C" w:rsidRPr="00557EBC" w:rsidRDefault="002C0E6C" w:rsidP="002C0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взимается.</w:t>
      </w:r>
    </w:p>
    <w:p w:rsidR="002C0E6C" w:rsidRPr="00557EBC" w:rsidRDefault="002C0E6C" w:rsidP="002C0E6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2C0E6C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собаки-проводника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Интернет-сайте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2.17.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учитывающие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9" w:anchor="Par59" w:history="1">
        <w:r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</w:t>
        </w:r>
        <w:r w:rsidR="001D1F61"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F975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(http://www.gosuslugi.ru)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(нумерации)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(содержащихся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предварительном согласовании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 отказе в предварительном согласовании)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(направление) заявителю копии постановления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F975D8" w:rsidRP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(об отказе в предварительном согласовании) предоставления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служащих.</w:t>
      </w:r>
    </w:p>
    <w:p w:rsidR="00107456" w:rsidRDefault="00107456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hyperlink r:id="rId40" w:tgtFrame="_blank" w:history="1">
        <w:r w:rsidR="00F975D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</w:hyperlink>
      <w:r w:rsidR="00F975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предусмотренным </w:t>
      </w:r>
      <w:r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F975D8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2.6.1 пункта 2.6 </w:t>
      </w:r>
      <w:r w:rsidR="001D1F61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1D1F61" w:rsidRPr="00F9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системах;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5D8" w:rsidRDefault="00F975D8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1" w:anchor="Par258" w:history="1">
        <w:r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4459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2.9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(отсутствии)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участков.</w:t>
      </w:r>
    </w:p>
    <w:p w:rsidR="00625B0A" w:rsidRDefault="004F324F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взаимодействия, и подготавливает проект постановления администрации о </w:t>
      </w:r>
      <w:r w:rsidR="0044597C"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 в собственность 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 отказе в </w:t>
      </w:r>
      <w:r w:rsidR="00625B0A"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земельного участка в собственность 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 </w:t>
      </w:r>
      <w:r w:rsidR="0044597C" w:rsidRPr="0044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предварительном согласовании предоставления земельного участка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 отказе в </w:t>
      </w:r>
      <w:r w:rsidR="00625B0A"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25B0A" w:rsidRDefault="00625B0A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передается согласование в структурные подразделения Администрации.</w:t>
      </w:r>
      <w:r w:rsidRPr="00625B0A">
        <w:t xml:space="preserve"> </w:t>
      </w:r>
      <w:r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проекта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порядке, установленном Инструкцией по делопроизводству.</w:t>
      </w:r>
    </w:p>
    <w:p w:rsidR="0044597C" w:rsidRPr="0044597C" w:rsidRDefault="00625B0A" w:rsidP="0044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Согласованный проект передается на подпись главе Воскресенского муниципального района Саратовской области (лицу, его замещающему).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постановления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  <w:bookmarkStart w:id="13" w:name="Par393"/>
      <w:bookmarkEnd w:id="13"/>
    </w:p>
    <w:p w:rsidR="00AA5B29" w:rsidRPr="001D1F61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постановления.</w:t>
      </w:r>
    </w:p>
    <w:p w:rsidR="00AA5B29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заявитель в качестве способа получения результата муниципальной услуги указывал выдачу постановления нарочно, исполнитель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получения заверенной копии постановления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постановления Администрации и возможности получить копию постановления нарочно в течение трех рабочих дней. </w:t>
      </w:r>
    </w:p>
    <w:p w:rsidR="00AA5B29" w:rsidRDefault="00AA5B29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исполнитель отправляет заверенную копию постановления заявителю способом, указанным в заявлении и предусмотренным настоящим Административным регламентом.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отправления.</w:t>
      </w:r>
    </w:p>
    <w:p w:rsidR="00AA5B29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земельного участка в собственность бесплатно (об отказе в предоставлении земельного участка в </w:t>
      </w:r>
      <w:r w:rsidR="00AA5B29" w:rsidRP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4F324F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выдачи (направления)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выдачи (направления)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 в собственность бесплатно (об отказе в предоставлении земельного участка в собственность бесплатно), о  предварительном согласовании предоставления земельного участка (об отказе в предварительном согласовании предоставления земельного участка)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представление заявителем в Администрацию заявления о выдаче дубликата в порядке и способами, предусмотренными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разделом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дминистративного регламента. Заявление и прилагаемые документы должны отвечать требованиям, указанным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 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2.6.3 раздела 2.6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документов).</w:t>
      </w:r>
    </w:p>
    <w:p w:rsidR="00107456" w:rsidRPr="00107456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составляется в произвольной форме и подается на имя главы Воскресенского муниципального района Саратовской области. В заявлении</w:t>
      </w:r>
      <w:r w:rsidR="00107456"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указаны сведения, позволяющие идентифицировать ранее выданн</w:t>
      </w:r>
      <w:r w:rsid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постановление</w:t>
      </w:r>
      <w:r w:rsidR="00107456"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регистрируется в порядке, предусмотренном разделом 3.2 настоящего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для отказа в приеме документов, необходимых для предоставления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основания для приостановления рассмотрения заявления, не предусмотрены.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рассматривается в срок, не превышающий трех рабочих дней с даты его регистрации. По результатам рассмотрения подготавливается и подписывается дубликат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уведомление об отказе в выдаче дубликата с указанием оснований отказа.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Дубликат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рмляется с пометками «дубликат», 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дата выдачи дубликата и номер дубликата.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Основаниями для отказа в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в заявлении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 информации, позволяющей идентифицировать ранее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выданное постановление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не соответствует требованиям, указанным в п.п. 2.6.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2.6.3 настоящего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регламента.</w:t>
      </w:r>
    </w:p>
    <w:p w:rsidR="00107456" w:rsidRP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заявления неуполномоченным лицом.</w:t>
      </w:r>
    </w:p>
    <w:p w:rsidR="00107456" w:rsidRDefault="00107456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заявителя о готовности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дубликата, его выдача (направление)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ответственным должностным лицом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в порядке, предусмотренном пунктом 3.2.4 настоящего Административного регламента</w:t>
      </w:r>
      <w:r w:rsidRPr="0010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4901" w:rsidRDefault="00964901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18" w:rsidRPr="001D1F61" w:rsidRDefault="00A02D18" w:rsidP="00107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исполнением</w:t>
      </w:r>
    </w:p>
    <w:p w:rsidR="004F324F" w:rsidRPr="001D1F61" w:rsidRDefault="00964901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F324F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контроль за исполнением Административного регламента при предоставлении муниципальной услуги осуществляется начальником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сделок, отдельным категориям заявителей) и внеплановый характер (по конкретному обращению заявителя).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E769D7" w:rsidRPr="00E769D7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4F324F" w:rsidRPr="001D1F61" w:rsidRDefault="00E769D7" w:rsidP="00E7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27.07.2006г. № 153-ФЗ  «О персональных данных».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Досудебный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(внесудебный)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служащих,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жалобу</w:t>
      </w:r>
    </w:p>
    <w:p w:rsidR="00E769D7" w:rsidRPr="001D1F61" w:rsidRDefault="00E769D7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внесудебном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9D7" w:rsidRPr="001D1F61" w:rsidRDefault="00E769D7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(принятые)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(принятием)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2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3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4" w:anchor="Par188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2.4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5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6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7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8" w:history="1"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1.3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769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69D7" w:rsidRP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9" w:history="1">
        <w:r w:rsidRPr="008250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(внесудебном)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476"/>
      <w:bookmarkEnd w:id="14"/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удовлетворяется,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прокуратуры.</w:t>
      </w:r>
      <w:bookmarkStart w:id="15" w:name="Par480"/>
      <w:bookmarkEnd w:id="15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0" w:anchor="Par476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5.13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1" w:anchor="Par480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2" w:anchor="Par480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(действий)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(действия):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выписок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МФЦ,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телефону;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3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4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4F324F" w:rsidRPr="001D1F61" w:rsidRDefault="004F324F" w:rsidP="004F324F">
      <w:pPr>
        <w:spacing w:after="0" w:line="308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5" w:anchor="Par219" w:history="1"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="001D1F61"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B840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настаивает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(примечания)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</w:p>
    <w:p w:rsidR="004F324F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осуществляет.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GoBack"/>
      <w:bookmarkEnd w:id="16"/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</w:p>
    <w:p w:rsidR="004F324F" w:rsidRPr="001D1F61" w:rsidRDefault="004F324F" w:rsidP="00B8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предоставляющими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заверение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тридцатидневного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номеру,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(внесудебного)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bookmarkStart w:id="17" w:name="Par561"/>
      <w:bookmarkEnd w:id="17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6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15.1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0B4" w:rsidRPr="0082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(бездействии)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  <w:bookmarkStart w:id="18" w:name="Par581"/>
      <w:bookmarkEnd w:id="18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7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11.2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  <w:bookmarkStart w:id="19" w:name="Par583"/>
      <w:bookmarkEnd w:id="19"/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6.23.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8" w:anchor="Par581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6.22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9" w:anchor="Par583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0" w:anchor="Par583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6.23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аргументированные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6.26.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1" w:anchor="Par561" w:history="1"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</w:t>
        </w:r>
        <w:r w:rsidR="001D1F61"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C39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6.17</w:t>
        </w:r>
      </w:hyperlink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прокуратуры.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6.27.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вступившего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законную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подтверждены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4F324F" w:rsidRPr="001D1F61" w:rsidRDefault="004F324F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жалобы.</w:t>
      </w:r>
    </w:p>
    <w:p w:rsidR="004F324F" w:rsidRPr="001D1F6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901" w:rsidRDefault="001D1F61" w:rsidP="004F3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901" w:rsidRDefault="009649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F324F" w:rsidRPr="0096490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012C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4F324F" w:rsidRPr="0096490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Административному</w:t>
      </w:r>
      <w:r w:rsidR="001D1F61"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регламенту</w:t>
      </w:r>
    </w:p>
    <w:p w:rsidR="004F324F" w:rsidRPr="001D1F61" w:rsidRDefault="001D1F61" w:rsidP="0096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964901" w:rsidRDefault="0096490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964901" w:rsidRPr="001D1F61" w:rsidRDefault="0096490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24F" w:rsidRPr="001D1F61" w:rsidRDefault="004F324F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жительства: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ст. 12.3 Закона Саратовской области </w:t>
      </w:r>
      <w:r w:rsidR="00964901"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30.09.2014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4901"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 «О земле»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Воскресенский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______________кв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подчеркнуть).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992"/>
      </w:tblGrid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96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4F324F" w:rsidP="0096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обращается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обращается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12509" w:rsidRP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содержащая сведения из реестра граждан,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24F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24F" w:rsidRPr="001D1F61" w:rsidRDefault="004F324F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вступившего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законную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D1F61"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24F" w:rsidRPr="001D1F61" w:rsidRDefault="001D1F61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4F324F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09" w:rsidRPr="001D1F61" w:rsidRDefault="00A12509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Документ, подтверждающий право собственности на индивидуальный жилой дом – при подаче заявления о предоставлении в собственность бесплатно земельного участка, занятого индивидуальным жилым домом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509" w:rsidRPr="001D1F61" w:rsidRDefault="00A12509" w:rsidP="004F32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D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4F324F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услуги: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(примечание)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D1F61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регламентом:</w:t>
      </w:r>
      <w:r w:rsidR="00A1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4F324F" w:rsidRPr="001D1F61" w:rsidRDefault="004F324F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F324F" w:rsidRDefault="001D1F61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12509" w:rsidRPr="0096490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A12509" w:rsidRPr="0096490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4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Воскресенского муниципального района</w:t>
      </w:r>
    </w:p>
    <w:p w:rsidR="00A12509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(Ф.И.О.)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Место жительства: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Паспорт: серия ____________ номер 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Выдан: 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(кем и когда выдан)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Код подразделения: 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Почтовый адрес и (или)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адрес электронной почты: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Телефон: 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 Вас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Саратовской области </w:t>
      </w:r>
      <w:r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30.09.2014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122-ЗСО «О земле»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 согласовать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собственность бесплатно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530B6C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область, Воскресенский район ___________________________________________________________________________, площадью ______________кв м,  с кадастровым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следующими характерными точками </w:t>
      </w:r>
      <w:r w:rsidR="005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 земельного участка___________________________________________________________</w:t>
      </w:r>
    </w:p>
    <w:p w:rsidR="00530B6C" w:rsidRDefault="00530B6C" w:rsidP="0053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12509" w:rsidRPr="001D1F61" w:rsidRDefault="00530B6C" w:rsidP="00530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A12509"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индивидуального жилищного строительства,   ведения  личного  подсобного хозяйства, садоводства или огородничества (нужное подчеркнуть).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992"/>
      </w:tblGrid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документа, удостоверяющего личность заявителя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Копия доверенности на представителя (в случае если заявитель обращается за предоставлением муниципальной услуги через 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документа, удостоверяющего личность представителя (в случае если заявитель обращается за предоставлением муниципальной услуги через представителя)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 либо сведения, подтверждающие место жительства заявителя на территории Воскресенского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содержащая сведения из реестра граждан,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Копия вступившего в законную силу решения суда об установлении места жительства заявителя на территории Воскресенского муниципального района - при отсутствии у заявителя регистрации по месту жительства на территории Воскресенского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509" w:rsidRPr="001D1F61" w:rsidTr="00036AD2">
        <w:tc>
          <w:tcPr>
            <w:tcW w:w="9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Документ, подтверждающий право собственности на индивидуальный жилой дом – при подаче заявления о предоставлении в собственность бесплатно земельного участка, занятого индивидуальным жилым домом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509" w:rsidRPr="001D1F61" w:rsidRDefault="00A12509" w:rsidP="00036A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20__ г.                     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получения результата оказания 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услуги: 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(примечание) о несоответствии заявления о предоставлении муниципальной услуги и прилагаемых  к  нему  документов  требованиям, установленным                 Административным регламентом: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12509" w:rsidRPr="001D1F61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12509" w:rsidRDefault="00A12509" w:rsidP="00A1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509" w:rsidRDefault="00A12509" w:rsidP="00A125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09" w:rsidRPr="001D1F61" w:rsidRDefault="00A12509" w:rsidP="004F3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12509" w:rsidRPr="001D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00"/>
    <w:rsid w:val="00005C75"/>
    <w:rsid w:val="00033141"/>
    <w:rsid w:val="00107456"/>
    <w:rsid w:val="00180986"/>
    <w:rsid w:val="001D1F61"/>
    <w:rsid w:val="002C0E6C"/>
    <w:rsid w:val="002D012C"/>
    <w:rsid w:val="00333373"/>
    <w:rsid w:val="0044597C"/>
    <w:rsid w:val="004D05ED"/>
    <w:rsid w:val="004F324F"/>
    <w:rsid w:val="00525B81"/>
    <w:rsid w:val="00530B6C"/>
    <w:rsid w:val="00625B0A"/>
    <w:rsid w:val="0063322C"/>
    <w:rsid w:val="0065507E"/>
    <w:rsid w:val="006C3904"/>
    <w:rsid w:val="00734DE1"/>
    <w:rsid w:val="00803BE4"/>
    <w:rsid w:val="008250B4"/>
    <w:rsid w:val="00964901"/>
    <w:rsid w:val="009B74C7"/>
    <w:rsid w:val="00A02D18"/>
    <w:rsid w:val="00A12509"/>
    <w:rsid w:val="00A7019C"/>
    <w:rsid w:val="00AA5B29"/>
    <w:rsid w:val="00B63700"/>
    <w:rsid w:val="00B8402F"/>
    <w:rsid w:val="00BD467B"/>
    <w:rsid w:val="00CE2375"/>
    <w:rsid w:val="00D61E13"/>
    <w:rsid w:val="00E769D7"/>
    <w:rsid w:val="00ED682C"/>
    <w:rsid w:val="00F42AC0"/>
    <w:rsid w:val="00F975D8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24F"/>
  </w:style>
  <w:style w:type="paragraph" w:styleId="a3">
    <w:name w:val="Normal (Web)"/>
    <w:basedOn w:val="a"/>
    <w:uiPriority w:val="99"/>
    <w:unhideWhenUsed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2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24F"/>
    <w:rPr>
      <w:color w:val="800080"/>
      <w:u w:val="single"/>
    </w:rPr>
  </w:style>
  <w:style w:type="character" w:customStyle="1" w:styleId="10">
    <w:name w:val="Гиперссылка1"/>
    <w:basedOn w:val="a0"/>
    <w:rsid w:val="004F324F"/>
  </w:style>
  <w:style w:type="paragraph" w:customStyle="1" w:styleId="aj">
    <w:name w:val="aj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24F"/>
  </w:style>
  <w:style w:type="paragraph" w:styleId="a3">
    <w:name w:val="Normal (Web)"/>
    <w:basedOn w:val="a"/>
    <w:uiPriority w:val="99"/>
    <w:unhideWhenUsed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2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24F"/>
    <w:rPr>
      <w:color w:val="800080"/>
      <w:u w:val="single"/>
    </w:rPr>
  </w:style>
  <w:style w:type="character" w:customStyle="1" w:styleId="10">
    <w:name w:val="Гиперссылка1"/>
    <w:basedOn w:val="a0"/>
    <w:rsid w:val="004F324F"/>
  </w:style>
  <w:style w:type="paragraph" w:customStyle="1" w:styleId="aj">
    <w:name w:val="aj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4F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3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s://pravo-search.minjust.ru/bigs/portal.html" TargetMode="External"/><Relationship Id="rId21" Type="http://schemas.openxmlformats.org/officeDocument/2006/relationships/hyperlink" Target="http://rnla-service.scli.ru:8080/rnla-links/ws/content/ac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s://pravo-search.minjust.ru/bigs/portal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D61615FC-C781-43F4-B46A-488B516BB3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s://pravo-search.minjust.ru/bigs/portal.html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portal.html" TargetMode="External"/><Relationship Id="rId40" Type="http://schemas.openxmlformats.org/officeDocument/2006/relationships/hyperlink" Target="https://pravo-search.minjust.ru/bigs/showDocument.html?id=A727DA71-B6D7-45D5-A44F-7B33B386708F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s://pravo-search.minjust.ru/bigs/portal.html" TargetMode="External"/><Relationship Id="rId58" Type="http://schemas.openxmlformats.org/officeDocument/2006/relationships/hyperlink" Target="https://pravo-search.minjust.ru/bigs/portal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pravo-search.minjust.ru/bigs/portal.html" TargetMode="External"/><Relationship Id="rId1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s://pravo-search.minjust.ru/bigs/portal.html" TargetMode="External"/><Relationship Id="rId51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oskresensk64.ru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portal.html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://rnla-service.scli.ru:8080/rnla-links/ws/content/act/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s://pravo-search.minjust.ru/bigs/portal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s://pravo-search.minjust.ru/bigs/portal.html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31" Type="http://schemas.openxmlformats.org/officeDocument/2006/relationships/hyperlink" Target="https://pravo-search.minjust.ru/bigs/portal.html" TargetMode="External"/><Relationship Id="rId44" Type="http://schemas.openxmlformats.org/officeDocument/2006/relationships/hyperlink" Target="https://pravo-search.minjust.ru/bigs/portal.html" TargetMode="External"/><Relationship Id="rId52" Type="http://schemas.openxmlformats.org/officeDocument/2006/relationships/hyperlink" Target="https://pravo-search.minjust.ru/bigs/portal.html" TargetMode="External"/><Relationship Id="rId6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31</Pages>
  <Words>14496</Words>
  <Characters>82633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15</cp:revision>
  <dcterms:created xsi:type="dcterms:W3CDTF">2023-09-29T06:59:00Z</dcterms:created>
  <dcterms:modified xsi:type="dcterms:W3CDTF">2023-10-11T08:07:00Z</dcterms:modified>
</cp:coreProperties>
</file>